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ae86ad8356e498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11461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VLADIMIRA NAZORA - S.E. VLADIMIR NAZOR, ROVINJ - ROVIGNO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2.015.749,64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2.165.487,61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1.991.904,26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2.266.106,43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100.618,82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50.948,87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52.713,04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50.948,87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52.713,04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27.103,49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153.331,86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565,7</w:t>
            </w:r>
          </w:p>
        </w:tc>
      </w:tr>
    </w:tbl>
    <w:p>
      <w:pPr>
        <w:spacing w:before="0" w:after="0"/>
      </w:pPr>
    </w:p>
    <w:p>
      <w:r>
        <w:t xml:space="preserve">U razdoblju od 01.siječnja do 31.prosinca 2025. prihodi poslovanja ostvareni su u iznosu od 2.165.487,61 EUR. Najznačajnija povećanja prihoda poslovanja ostvarena su od: kapitalnih pomoći proračunskim korisnicima iz proračuna koji im nije nadležan i to za udžbenike nabavljene u 2024. za koje je refundacija bila u 2025., tekućih pomoći temeljem prijenosa EU sredstava iz razloga što smo u ovoj godini imali  pomoćnika u nastavi više u odnosu na prošlu godinu i iz razloga što je pomoćnicima ugovor trajao do 31.08.2025., kamate po viđenju zbog više sredstava na računu, tekućih donacija. Smanjenje prihoda poslovanja ima kod prihoda iz nadležnog proračuna iz razloga što je u 2024. god. bio osiguran iznos za tekuće i investicijsko održavanje unutarnjih školskih prostora dok nastavak istog projekta nije ušao u plan za 2025. kao i smanjenje kod prihoda za financiranje rashoda za nabavu nefinancijske imovine. Rashodi poslovanja u razdoblju  od 01.siječnja do 31.prosinca 2025. ostvareni su u iznosu 2.266.106,43 EUR. Najznačajnije povećanje rashoda evidentirano je na rashodima za zaposlene uslijed povećanja plaća i zbog knjiženja rashoda plaće prosinac 2025.  koja je u protekloj godini teretila skupinu 19, a ne rashod. Kao i kod rashoda za zaposlene svi kontinuraini rashodi, obveze za rashode za mjesec prosinac 2025. također su rashod u 2025. te u ovoj godini imamo 13 knjiženih rashoda (el.energija, komunalne usluge, računalne, poštanske, telefonske i slične usluge). Najznačajnija smanjenja rashoda evidentirana su na rashodima za usluge iz razloga što u ovoj godini nisu osigurana sredstva za unutarnje uređenje prostora škole kao i prošle godine. U navedenom razdoblju nema ostvarenih prihoda od prodaje nefinancijske imovine, dok su rashodi za nabavu nefinancijske imovine ostvareni u iznosu od 52713,04 EUR ,a ponajviše se odnose na nabavu uredske opreme i namještaja kao i nabavu užbenika i knjiga za knjižnicu.  U navedenom razdoblju nije bilo ostvarenih primitaka ni izdataka od/za financijsku imovinu i zaduživanja te otplatu zajmova. U razdoblju od 01.siječnja do 31. prosinca 2025.ostvaren je manjak prihoda poslovanja u iznosu od 100.618,82 EUR te manjak od nefinancijske imovine u iznosu od 52.713,04 EUR što ukupno iznosi 153.331,86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41.420,40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7266,7</w:t>
            </w:r>
          </w:p>
        </w:tc>
      </w:tr>
    </w:tbl>
    <w:p>
      <w:pPr>
        <w:spacing w:before="0" w:after="0"/>
      </w:pPr>
    </w:p>
    <w:p>
      <w:r>
        <w:t xml:space="preserve">U 2025. godini Ministarstvo znanosti, obrazovanja i mladih dotiralo je sredstva za rashode nabavke udžbenika i za 2024. i za 2025.godinu. te je iz tog razloga povećanje u odnosu na prošlu godinu.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92.181,42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w:t>
            </w:r>
          </w:p>
        </w:tc>
      </w:tr>
    </w:tbl>
    <w:p>
      <w:pPr>
        <w:spacing w:before="0" w:after="0"/>
      </w:pPr>
    </w:p>
    <w:p>
      <w:r>
        <w:t xml:space="preserve">Zbog većeg broja pomoćnika u nastavi, zbog veće satnice pomoćnika i ostalih naknada za zaposlene kao i zbog primitka sredstava po okončanju EU projekta iz prethodinih razdoblja i priznavanja prihoda iz prošlogodišnjeg viška iz EU projekta došlo je do povećanja ovog prihoda.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bl>
    <w:p>
      <w:pPr>
        <w:spacing w:before="0" w:after="0"/>
      </w:pPr>
    </w:p>
    <w:p>
      <w:r>
        <w:t xml:space="preserve">Uslijed većih prihoda primljena su i veća sredstva za kamate po viđenju.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378.384,90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350.039,02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w:t>
            </w:r>
          </w:p>
        </w:tc>
      </w:tr>
    </w:tbl>
    <w:p>
      <w:pPr>
        <w:spacing w:before="0" w:after="0"/>
      </w:pPr>
    </w:p>
    <w:p>
      <w:r>
        <w:t xml:space="preserve">U odnosu na prethodnu godinu, u 2025. nisu osigurana sredstva za usluge tekućeg i investicijskog održavanja dok su za neke druge rashode osigurani povećani prihodi no u konačnici su prihodi bili manji.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26.596,96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r>
    </w:tbl>
    <w:p>
      <w:pPr>
        <w:spacing w:before="0" w:after="0"/>
      </w:pPr>
    </w:p>
    <w:p>
      <w:r>
        <w:t xml:space="preserve">U 2025. kroz plan osigurano 5.596,96 eura manje prihoda za nabavu nefinancijske i ovine iz nadležnog proračuna.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1.356.025,91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1.616.597,62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Povećani rashodi za zaposlene u odnosu na 2024. zbog povećanja osnovice tijekom 2025.</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223.744,15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266.738,63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Zbog povećanja bruto plaća zaposlenika doprinos u postotku od 16,5% također je veći.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r>
        <w:t xml:space="preserve">Zaposlenici su upućivani na službena putovanja prema potrebi ali ukupan trošak je u 2025. bio manji za 10% u odnosu na 2024.godinu.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w:t>
            </w:r>
          </w:p>
        </w:tc>
      </w:tr>
    </w:tbl>
    <w:p>
      <w:pPr>
        <w:spacing w:before="0" w:after="0"/>
      </w:pPr>
    </w:p>
    <w:p>
      <w:r>
        <w:t xml:space="preserve">Povećani troškovi kotizacija u odnosu na 2024.godinu.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w:t>
            </w:r>
          </w:p>
        </w:tc>
      </w:tr>
    </w:tbl>
    <w:p>
      <w:pPr>
        <w:spacing w:before="0" w:after="0"/>
      </w:pPr>
    </w:p>
    <w:p>
      <w:r>
        <w:t xml:space="preserve">EU projekt koji je započet u 2025.godini tek je krenuo te su troškovi manji u odnosu na prethodnu godinu.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w:t>
            </w:r>
          </w:p>
        </w:tc>
      </w:tr>
    </w:tbl>
    <w:p>
      <w:pPr>
        <w:spacing w:before="0" w:after="0"/>
      </w:pPr>
    </w:p>
    <w:p>
      <w:r>
        <w:t xml:space="preserve">U 2025. nabavljeno manje sitnog inventara.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48.706,82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w:t>
            </w:r>
          </w:p>
        </w:tc>
      </w:tr>
    </w:tbl>
    <w:p>
      <w:pPr>
        <w:spacing w:before="0" w:after="0"/>
      </w:pPr>
    </w:p>
    <w:p>
      <w:r>
        <w:t xml:space="preserve">U 2024.godini odrađeni su radovi unutarnjeg uređenja školskih prostora te su rashodi bili značajno veći u odnosu na 2025.godinu.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w:t>
            </w:r>
          </w:p>
        </w:tc>
      </w:tr>
    </w:tbl>
    <w:p>
      <w:pPr>
        <w:spacing w:before="0" w:after="0"/>
      </w:pPr>
    </w:p>
    <w:p>
      <w:r>
        <w:t xml:space="preserve">U odnosu na 2024. godini, u ovoj godini smo imali manji broj autorskih ugovora kao i ugovora o djelu.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r>
        <w:t xml:space="preserve">U 2025. manji su troškovi računalnih usluga za 36,6%.</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r>
        <w:t xml:space="preserve">Ostale usluge u 2025. realizirane u manjem postotku nego u prethodnoj godini.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w:t>
            </w:r>
          </w:p>
        </w:tc>
      </w:tr>
    </w:tbl>
    <w:p>
      <w:pPr>
        <w:spacing w:before="0" w:after="0"/>
      </w:pPr>
    </w:p>
    <w:p>
      <w:r>
        <w:t xml:space="preserve">Zbog povećanih cijena osiguravajuće kuće, u 2025. veći su troškovi premija osiguranja.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180,2</w:t>
            </w:r>
          </w:p>
        </w:tc>
      </w:tr>
    </w:tbl>
    <w:p>
      <w:pPr>
        <w:spacing w:before="0" w:after="0"/>
      </w:pPr>
    </w:p>
    <w:p>
      <w:r>
        <w:t xml:space="preserve">Ostali nespomenuti rashodi su veći prema planu.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w:t>
            </w:r>
          </w:p>
        </w:tc>
      </w:tr>
    </w:tbl>
    <w:p>
      <w:pPr>
        <w:spacing w:before="0" w:after="0"/>
      </w:pPr>
    </w:p>
    <w:p>
      <w:r>
        <w:t xml:space="preserve">U 2024. godini primljeno je više sredstava za nabavu higijenskog materijala za učenice.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150.282,05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4634,6</w:t>
            </w:r>
          </w:p>
        </w:tc>
      </w:tr>
    </w:tbl>
    <w:p>
      <w:pPr>
        <w:spacing w:before="0" w:after="0"/>
      </w:pPr>
    </w:p>
    <w:p>
      <w:r>
        <w:t xml:space="preserve">Za razliku od 2024., u 2025. knjižena je plaća za 12/2025. kao rashod za 2025.,a ne kao u prethodnim godinama kao kontinuirani rashod na kontu 193, te su stoga obračunati prihodi poslovanja nenaplaćeni iskazani u ovako velikoj razlici.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w:t>
            </w:r>
          </w:p>
        </w:tc>
      </w:tr>
    </w:tbl>
    <w:p>
      <w:pPr>
        <w:spacing w:before="0" w:after="0"/>
      </w:pPr>
    </w:p>
    <w:p>
      <w:r>
        <w:t xml:space="preserve">Nabavljeno manje namještaja u korist komunikacijske opreme - portafona i telefonske centrale.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sigurnosti zgrade ugrađen portafon na ulazu škole i zamijenjena dotrajala telefonska centrala.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903,0</w:t>
            </w:r>
          </w:p>
        </w:tc>
      </w:tr>
    </w:tbl>
    <w:p>
      <w:pPr>
        <w:spacing w:before="0" w:after="0"/>
      </w:pPr>
    </w:p>
    <w:p>
      <w:r>
        <w:t xml:space="preserve">Nabavljeno više gl.instrumenata u odnosu na prethodnu godinu.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21.169,62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Preneseni manjak iz razloga što MZOM nije refundiralo nastali troška za udžbenike u 2024.</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153.331,86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565,7</w:t>
            </w:r>
          </w:p>
        </w:tc>
      </w:tr>
    </w:tbl>
    <w:p>
      <w:pPr>
        <w:spacing w:before="0" w:after="0"/>
      </w:pPr>
    </w:p>
    <w:p>
      <w:r>
        <w:t xml:space="preserve">Manjak prihoda i rashoda u 2025. nastao zbog načina knjiženja troškova za 12/2025. većinom su to rashoda plaća.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150.282,05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4634,6</w:t>
            </w:r>
          </w:p>
        </w:tc>
      </w:tr>
    </w:tbl>
    <w:p>
      <w:pPr>
        <w:spacing w:before="0" w:after="0"/>
      </w:pPr>
    </w:p>
    <w:p>
      <w:r>
        <w:t xml:space="preserve">Za razliku od 2024., u 2025. knjižena je plaća za 12/2025. kao rashod za 2025.,a ne kao u prethodnim godinama kao kontinuirani rashod na kontu 193, te su stoga obračunati prihodi poslovanja nenaplaćeni iskazani u ovako velikoj razlici.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21.167,43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w:t>
            </w:r>
          </w:p>
        </w:tc>
      </w:tr>
    </w:tbl>
    <w:p>
      <w:pPr>
        <w:spacing w:before="0" w:after="0"/>
      </w:pPr>
    </w:p>
    <w:p>
      <w:r>
        <w:t xml:space="preserve">Zamijenjena telefonska centrala i ugrađen portafon na ulazu u školsku zgradu.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191.067,72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213.505,47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Nabavljeni udžbenici za školsku godinu 2025/2026. kao i potrebna lektira dio iz sredstava osnivača dio prema Odluci MZOM.</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185.076,17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206.573,53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Proveden ispravak vrijednosti knjiga.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Prema ugovorima za realizaciju EU projekta, sredstva su prebačena učiteljima koji će sudjelovati u projektu, a biti će realizirani u narednom razdoblju.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337,3</w:t>
            </w:r>
          </w:p>
        </w:tc>
      </w:tr>
    </w:tbl>
    <w:p>
      <w:pPr>
        <w:spacing w:before="0" w:after="0"/>
      </w:pPr>
    </w:p>
    <w:p>
      <w:r>
        <w:t xml:space="preserve">Odnosi se na potraživanja od HZZO koja nisu refundirana do 31.12.2025.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130.528,03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plaću 12/2025. od MZOM-a.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17.610,89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plaću pomoćnika u nastavi za 12/2025. i potraživanja po EU projektima.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w:t>
            </w:r>
          </w:p>
        </w:tc>
      </w:tr>
    </w:tbl>
    <w:p>
      <w:pPr>
        <w:spacing w:before="0" w:after="0"/>
      </w:pPr>
    </w:p>
    <w:p>
      <w:r>
        <w:t xml:space="preserve">Potraživanja od roditelja za troškove školske kuhinje i participaciju glazbenog odjela.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168.297,82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203.993,46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r>
        <w:t xml:space="preserve">Obveze na 31.12.2025. koje se odnose na obveze za zaposlene, obveze za materijalne rashodete obveze za financijske rashode te su istovjetne iznosu na obrascu obveze.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21.373,96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Obveze prenesene iz 2024. za nabavku udžbenika za šk.godinu 2024/2025. podmirene su u siječnju 2025. po primitku sredstva od MZOM-a.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110.050,92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Knjiženjem plaća za 12/2025. kao trošak 2025. na dan 31.12.2025. rezultiralo je manjkom prihoda poslovanja koji će se pokriti u 2026. primitkom prihoda.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23.731,91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w:t>
            </w:r>
          </w:p>
        </w:tc>
      </w:tr>
    </w:tbl>
    <w:p>
      <w:pPr>
        <w:spacing w:before="0" w:after="0"/>
      </w:pPr>
    </w:p>
    <w:p>
      <w:r>
        <w:t xml:space="preserve">Manjak od nefinancijske imovine pokriti će se u 2026. donošenjem Odluke o raspodjeli rezultata.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406,9</w:t>
            </w:r>
          </w:p>
        </w:tc>
      </w:tr>
    </w:tbl>
    <w:p>
      <w:pPr>
        <w:spacing w:before="0" w:after="0"/>
      </w:pPr>
    </w:p>
    <w:p>
      <w:r>
        <w:t xml:space="preserve">HZZO nije refundirao isplaćene bolovanje iz vlastitih sredstava za razdoblje 10-12/2025.</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2.042.853,13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2.318.552,93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U 2024. svi su se rashodi prema funkcijskoj klasifikaciji odnosili na osnovno obrazovanje dok se u 2025. samo 266,54 eura odnosilo na socijalnu pomoć, a otatak na osnovno obrazovanje.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pomoć stanovništvu koje nije obuhvaćeno redovnim socijalnim programima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Osnivač tijekom 2025. pokrio troškove prehrane 2 učenika prema Rješenjima.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Za dječji tjedan osnivač je donirao komplet lektire za školsku knjižnicu u navedenom iznosu.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203.993,46 eura što odgovara obvezama za zaposlene za plaću 12/2025., obveze za naknadu za prijevoz na posao i s posla za 12/2025., obveze za materijalne rashode prema računima dobavljača za prosinac 2025. koji su primljeni u 01/2026. i odgovaraju stanju saldakontija dobavljača, obveze za EU predujmove te obveze za povrat u proračun - HZZO.,</w:t>
      </w:r>
      <w:r>
        <w:br/>
      </w:r>
      <w:r>
        <w:rPr>
          <w:b/>
        </w:rPr>
        <w:t xml:space="preserve">Stanje dospjelih obveza na kraju razdoblja jesu 0,02 eura zbog razlike u izvršenim plaćanjima te zaprimljenih računa od dobavljača.</w:t>
      </w:r>
      <w:r>
        <w:br/>
      </w:r>
      <w:r>
        <w:t xml:space="preserve">Stanje nedospjelih obveza na kraju izvještajnog razdoblja iznosi 203.993,44 eura, a odnosi se na plaće za mjesec 12/2025. koje dospijevaju u siječnju 2026., na obveze međuproračunskih korisnika – bolovanje HZZO &gt;42 dana koje je ostalo nekompenzirano za razdoblje od kraja 202., na obveze za rashode poslovanja koji dospijevaju u siječnju 2026. te na obveze za EU predujmove.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odnose se na bolovanje HZZO koje će biti kompenzirano u 2026.godini.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161.047,10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plaće i naknade za 12/2025. te nekoliko računa za prosinac 2025. koji su podmireni u 2026.</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42.351,20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Predujam EU koji će se zatvoriti po okončanju prijekta, odnosno po predaji izvještaja o završenom projektu.</w:t>
      </w:r>
    </w:p>
    <w:p/>
    <w:p>
      <w:pPr>
        <w:jc w:val="center"/>
        <w:pStyle w:val="Normal"/>
        <w:spacing w:line="240" w:lineRule="auto"/>
        <w:keepNext/>
      </w:pPr>
      <w:r>
        <w:rPr>
          <w:sz w:val="28"/>
          <w:rFonts w:ascii="Times New Roman" w:hAnsi="Times New Roman"/>
        </w:rPr>
        <w:t xml:space="preserve">Bilješka 47.</w:t>
      </w:r>
    </w:p>
    <w:p>
      <w:pPr>
        <w:jc w:val="both"/>
        <w:pStyle w:val="Normal"/>
        <w:spacing w:line="240" w:lineRule="auto"/>
      </w:pPr>
      <w:r>
        <w:rPr>
          <w:b/>
          <w:sz w:val="24"/>
          <w:rFonts w:ascii="Times New Roman" w:hAnsi="Times New Roman"/>
        </w:rPr>
        <w:t xml:space="preserve">EU izvještaj</w:t>
      </w:r>
    </w:p>
    <w:p>
      <w:r>
        <w:t xml:space="preserve">U EU izvještaj uneseni su podaci za dva EU projekta u koje je škola uključena.</w:t>
      </w:r>
    </w:p>
    <w:p>
      <w:r>
        <w:t xml:space="preserve">U školi se provodi projekt iz Europskog socijalnog fonda plus (izvor 561) kroz projekt pomoćnika u nastavi pod nazivom "Puna torba zajedništva II." kroz koji je osigurano 7 pomoćnika kojima se financira rad sa nepunim radnim vremenom i svi troškovi koji proizlaze iz njihovih ugovora o radu. Nositelj projekta je Grad Poreč koji nam mjesečno dotira sredstva za plaće i ostale troškove za zaposlene temeljem mjesečnih zahtjeva. Temeljem raspoloživih podataka izrađen je izvještaj.</w:t>
      </w:r>
    </w:p>
    <w:p>
      <w:r>
        <w:t xml:space="preserve">Iz izvora 510 provodimo projekte Erasmus+ iz Agencije za mobilnost i programe EU te se jedan projekt pod nazivom "Be Gita" nastavio u 2025. dok se novi projekt započeo u 2025. pod nazivom "In 2 the bright future". U izvještaj su uneseni podaci prema izvršenim knjiženjima temeljem Upute iz 2025.godine.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f074190adfd4f75" /></Relationships>
</file>